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39" w:rsidRDefault="00594B39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самостоятельного выполнения (1 и 2 контрольные точки) по дисциплине </w:t>
      </w:r>
    </w:p>
    <w:p w:rsidR="00594B39" w:rsidRDefault="00594B39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«Технология производства, переработки и хранения продукции животноводства» </w:t>
      </w:r>
    </w:p>
    <w:p w:rsidR="00FD0FF0" w:rsidRDefault="00FD0FF0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9D9" w:rsidRPr="00FD0FF0" w:rsidRDefault="00FD0FF0" w:rsidP="00594B3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0FF0">
        <w:rPr>
          <w:rFonts w:ascii="Times New Roman" w:hAnsi="Times New Roman" w:cs="Times New Roman"/>
          <w:b/>
          <w:sz w:val="52"/>
          <w:szCs w:val="52"/>
        </w:rPr>
        <w:t xml:space="preserve">контрольная дата сдачи </w:t>
      </w:r>
      <w:r w:rsidR="00720B66">
        <w:rPr>
          <w:rFonts w:ascii="Times New Roman" w:hAnsi="Times New Roman" w:cs="Times New Roman"/>
          <w:b/>
          <w:sz w:val="52"/>
          <w:szCs w:val="52"/>
        </w:rPr>
        <w:t>______________</w:t>
      </w:r>
    </w:p>
    <w:p w:rsidR="00FD0FF0" w:rsidRDefault="00FD0FF0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246"/>
        <w:gridCol w:w="5599"/>
        <w:gridCol w:w="5133"/>
      </w:tblGrid>
      <w:tr w:rsidR="00B839D9" w:rsidRPr="00A704BF" w:rsidTr="00FD0FF0">
        <w:trPr>
          <w:trHeight w:val="567"/>
        </w:trPr>
        <w:tc>
          <w:tcPr>
            <w:tcW w:w="636" w:type="dxa"/>
            <w:vMerge w:val="restart"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  <w:vMerge w:val="restart"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0732" w:type="dxa"/>
            <w:gridSpan w:val="2"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Темы для выполнения задания</w:t>
            </w:r>
          </w:p>
        </w:tc>
      </w:tr>
      <w:tr w:rsidR="00073552" w:rsidRPr="00A704BF" w:rsidTr="00FD0FF0">
        <w:trPr>
          <w:trHeight w:val="567"/>
        </w:trPr>
        <w:tc>
          <w:tcPr>
            <w:tcW w:w="636" w:type="dxa"/>
            <w:vMerge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vMerge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 кт (написание и защита реферата)</w:t>
            </w:r>
          </w:p>
        </w:tc>
        <w:tc>
          <w:tcPr>
            <w:tcW w:w="5133" w:type="dxa"/>
            <w:vAlign w:val="center"/>
          </w:tcPr>
          <w:p w:rsidR="00594B39" w:rsidRPr="00A704BF" w:rsidRDefault="00594B39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 кт (написание эссе)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Продуктивность с.-х. животных, специфичность и учет.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pStyle w:val="a4"/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Молочные продукты лечебно-профилактического назначения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Развитие рынка и тенденции потребления молока и молочной продукции в мире, России и в Ставропольском крае.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Растительные жиры и аналоги молочного жира. Пищевые добавки и ингредиенты.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Молочная и </w:t>
            </w:r>
            <w:r w:rsidRPr="00A704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мясная</w:t>
            </w: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продуктивность разных видов с.-х. животных</w:t>
            </w:r>
            <w:r w:rsidRPr="00A704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Породы с.-х. животных разводимые в Ставропольском крае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Яйца и яйцепродукты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Применение </w:t>
            </w:r>
            <w:proofErr w:type="spellStart"/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малозатратных</w:t>
            </w:r>
            <w:proofErr w:type="spellEnd"/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нетрадиционных технологий при производстве продукции животноводства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pStyle w:val="a4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Способы интенсификации технологии сыра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vAlign w:val="center"/>
          </w:tcPr>
          <w:p w:rsidR="00A704BF" w:rsidRPr="00947BAB" w:rsidRDefault="00A704BF" w:rsidP="00947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Оценка качества и пороки масла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Разведение мелких животных (кролики, нутрии, шиншиллы), значение для человека.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технологии отдельных групп сыров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Основы первичной переработки продукции животноводства,  утилизация отходов.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Количественные и качественные показатели мясной продуктивности и качества мяса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Классификация мороженого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 xml:space="preserve">Нормы выхода при обвалке и </w:t>
            </w:r>
            <w:proofErr w:type="spell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жиловке</w:t>
            </w:r>
            <w:proofErr w:type="spell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 xml:space="preserve"> мяса разных пород и видов животных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Сублимационная сушка мяса и мясопродуктов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контроль и товароведческая оценка продуктов убоя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Новая, дифференцированная розничная разделка говяжьих туш (полутуш)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Способы замораживания мясных туш убойных животных сроки хранения продуктов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Немолочное сырье при производстве питьевого молока и молочных. Белково-углеводное сырь</w:t>
            </w:r>
            <w:proofErr w:type="gram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ахта, сыворотка, обрат)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Тенденции потребления мяса и мясной продукции в мире, России и в Ставропольском крае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6" w:type="dxa"/>
            <w:vAlign w:val="center"/>
          </w:tcPr>
          <w:p w:rsidR="00A704BF" w:rsidRPr="00FD0FF0" w:rsidRDefault="00A704BF" w:rsidP="00FD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Расчеты, используемые при переработке молока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A704BF" w:rsidRPr="00A704BF" w:rsidTr="00FD0FF0">
        <w:trPr>
          <w:trHeight w:val="567"/>
        </w:trPr>
        <w:tc>
          <w:tcPr>
            <w:tcW w:w="63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46" w:type="dxa"/>
            <w:vAlign w:val="center"/>
          </w:tcPr>
          <w:p w:rsidR="00A704BF" w:rsidRPr="00A704BF" w:rsidRDefault="00A704BF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Ферментное сырье. Виды и классификация кожевенного сырья.</w:t>
            </w:r>
          </w:p>
        </w:tc>
        <w:tc>
          <w:tcPr>
            <w:tcW w:w="5133" w:type="dxa"/>
            <w:vAlign w:val="center"/>
          </w:tcPr>
          <w:p w:rsidR="00A704BF" w:rsidRPr="00A704BF" w:rsidRDefault="00A704BF" w:rsidP="00FD0F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Продуктивность с.-х. животных, специфичность и учет.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Тенденции потребления мяса и мясной продукции в мире, России и в Ставропольском крае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Основы первичной переработки продукции животноводства,  утилизация отходов.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Развитие рынка и тенденции потребления молока и молочной продукции в мире, России и в Ставропольском крае.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Немолочное сырье при производстве питьевого молока и молочных. Белково-углеводное сырь</w:t>
            </w:r>
            <w:proofErr w:type="gram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ахта, сыворотка, обрат)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0B66" w:rsidRPr="00A704BF" w:rsidTr="00FD0FF0">
        <w:trPr>
          <w:trHeight w:val="567"/>
        </w:trPr>
        <w:tc>
          <w:tcPr>
            <w:tcW w:w="63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6" w:type="dxa"/>
            <w:vAlign w:val="center"/>
          </w:tcPr>
          <w:p w:rsidR="00720B66" w:rsidRPr="00A704BF" w:rsidRDefault="00720B66" w:rsidP="00FD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Применение </w:t>
            </w:r>
            <w:proofErr w:type="spellStart"/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малозатратных</w:t>
            </w:r>
            <w:proofErr w:type="spellEnd"/>
            <w:r w:rsidRPr="00A704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нетрадиционных технологий при производстве продукции животноводства</w:t>
            </w:r>
          </w:p>
        </w:tc>
        <w:tc>
          <w:tcPr>
            <w:tcW w:w="5133" w:type="dxa"/>
            <w:vAlign w:val="center"/>
          </w:tcPr>
          <w:p w:rsidR="00720B66" w:rsidRPr="00A704BF" w:rsidRDefault="00720B66" w:rsidP="006F179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04BF">
              <w:rPr>
                <w:rFonts w:ascii="Times New Roman" w:hAnsi="Times New Roman" w:cs="Times New Roman"/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</w:tbl>
    <w:p w:rsidR="00594B39" w:rsidRDefault="00594B39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552" w:rsidRPr="00073552" w:rsidRDefault="00073552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552" w:rsidRPr="00073552" w:rsidRDefault="00073552" w:rsidP="0007355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2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073552" w:rsidRPr="00073552" w:rsidRDefault="00073552" w:rsidP="002649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552">
        <w:rPr>
          <w:rFonts w:ascii="Times New Roman" w:hAnsi="Times New Roman" w:cs="Times New Roman"/>
          <w:b/>
          <w:sz w:val="28"/>
          <w:szCs w:val="28"/>
        </w:rPr>
        <w:t>а) основная литература:</w:t>
      </w:r>
    </w:p>
    <w:p w:rsidR="002649EE" w:rsidRDefault="002649EE" w:rsidP="002649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49EE">
        <w:rPr>
          <w:rFonts w:ascii="Times New Roman" w:hAnsi="Times New Roman" w:cs="Times New Roman"/>
          <w:sz w:val="28"/>
          <w:szCs w:val="28"/>
        </w:rPr>
        <w:t>Карпеня Михаил Михайлович. Технология производства молока и молочных продуктов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 Учебное пособие; СПО, ВО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"Научно-издательский центр ИНФРА-М", 2019. - 410 с. - URL: </w:t>
      </w:r>
      <w:hyperlink r:id="rId6" w:history="1">
        <w:r w:rsidRPr="00E3794B">
          <w:rPr>
            <w:rStyle w:val="a5"/>
            <w:rFonts w:ascii="Times New Roman" w:hAnsi="Times New Roman" w:cs="Times New Roman"/>
            <w:sz w:val="28"/>
            <w:szCs w:val="28"/>
          </w:rPr>
          <w:t>http://new.znanium.com/go.php?id=982136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649EE" w:rsidRPr="002649EE" w:rsidRDefault="002649EE" w:rsidP="002649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Чикалев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Александр Иванович. Производство и переработка продукции животноводства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 Учебник; ВО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/Горно-Алтайский государственный университет; Российский государственный аграрный университет - МСХА им. К.А. Тимирязева.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"КУРС", 2019. - 188 с. - URL: http://new.znanium.com/go.php?id=1003256.</w:t>
      </w:r>
    </w:p>
    <w:p w:rsidR="002649EE" w:rsidRPr="002649EE" w:rsidRDefault="002649EE" w:rsidP="002649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Г. С. Стандартизация, технология переработки и хранения продукции животноводства : учебное пособие; ВО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Магистратура/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Сибагатуллин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Ф. С., Балакирев Н. А.,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Шайдуллин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Р. Р.,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Шувариков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А. С., Аскаров Р. Ш.,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Э. А..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ань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2020. - 624 с. - URL: https://e.lanbook.com/book/130579. - Издательство Лань.</w:t>
      </w:r>
    </w:p>
    <w:p w:rsidR="00073552" w:rsidRPr="00073552" w:rsidRDefault="00073552" w:rsidP="000735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3552" w:rsidRPr="00073552" w:rsidRDefault="00073552" w:rsidP="000735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3552">
        <w:rPr>
          <w:rFonts w:ascii="Times New Roman" w:hAnsi="Times New Roman" w:cs="Times New Roman"/>
          <w:b/>
          <w:sz w:val="28"/>
          <w:szCs w:val="28"/>
        </w:rPr>
        <w:t xml:space="preserve">б) дополнительная литература: 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1.</w:t>
      </w:r>
      <w:r w:rsidRPr="002649EE">
        <w:rPr>
          <w:rFonts w:ascii="Times New Roman" w:hAnsi="Times New Roman" w:cs="Times New Roman"/>
          <w:sz w:val="28"/>
          <w:szCs w:val="28"/>
        </w:rPr>
        <w:tab/>
        <w:t>Животноводство : учеб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особие для студентов вузов по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агрон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. специальностям/под ред. Д. В. Степанова.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М.:Колос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2006. - 688 с.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2.</w:t>
      </w:r>
      <w:r w:rsidRPr="002649EE">
        <w:rPr>
          <w:rFonts w:ascii="Times New Roman" w:hAnsi="Times New Roman" w:cs="Times New Roman"/>
          <w:sz w:val="28"/>
          <w:szCs w:val="28"/>
        </w:rPr>
        <w:tab/>
        <w:t xml:space="preserve">Киселев Л. Ю. Основы технологии производства и первичной обработки продукции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жи-вотноводства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: учебное пособие; ВО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/Киселев Л. Ю.,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Забудский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Ю. И., Голикова А. П., Федосеева Н. А.; Селифанов И. С., Новикова Н. Н., Мышкина М. С.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ань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2012. - 448 с.  URL: http://e.lanbook.com/books/element.php?pl1_cid=25&amp;pl1_id=4978. - Издательство Лань.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3.</w:t>
      </w:r>
      <w:r w:rsidRPr="002649EE">
        <w:rPr>
          <w:rFonts w:ascii="Times New Roman" w:hAnsi="Times New Roman" w:cs="Times New Roman"/>
          <w:sz w:val="28"/>
          <w:szCs w:val="28"/>
        </w:rPr>
        <w:tab/>
        <w:t>Производство и переработка говядины : учеб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особие для студентов по специальности 110305 - "Технология с.-х. </w:t>
      </w:r>
      <w:r w:rsidRPr="002649EE">
        <w:rPr>
          <w:rFonts w:ascii="Times New Roman" w:hAnsi="Times New Roman" w:cs="Times New Roman"/>
          <w:sz w:val="28"/>
          <w:szCs w:val="28"/>
        </w:rPr>
        <w:lastRenderedPageBreak/>
        <w:t xml:space="preserve">пр-ва"/А. Н. Негреева [и др.].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М.:Колос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2007. - 200 с.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4.</w:t>
      </w:r>
      <w:r w:rsidRPr="002649EE">
        <w:rPr>
          <w:rFonts w:ascii="Times New Roman" w:hAnsi="Times New Roman" w:cs="Times New Roman"/>
          <w:sz w:val="28"/>
          <w:szCs w:val="28"/>
        </w:rPr>
        <w:tab/>
        <w:t>Производство и переработка свинины : учеб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особие для студентов по специальности 110305 - Технология пр-ва и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. с.-х. продукции/А. Н. Негреева [и др</w:t>
      </w:r>
      <w:r>
        <w:rPr>
          <w:rFonts w:ascii="Times New Roman" w:hAnsi="Times New Roman" w:cs="Times New Roman"/>
          <w:sz w:val="28"/>
          <w:szCs w:val="28"/>
        </w:rPr>
        <w:t xml:space="preserve">.]. -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М.:Колос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2008. - 168 с.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5.</w:t>
      </w:r>
      <w:r w:rsidRPr="002649EE">
        <w:rPr>
          <w:rFonts w:ascii="Times New Roman" w:hAnsi="Times New Roman" w:cs="Times New Roman"/>
          <w:sz w:val="28"/>
          <w:szCs w:val="28"/>
        </w:rPr>
        <w:tab/>
        <w:t>Технологические основы производства и переработки продукции животноводства : учеб. пособие для студентов вузов/под ред.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И.Фисинина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Г.Макарцева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649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.:МГТУ им. Н. Э. Баумана, 2003. - 804 с.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6.</w:t>
      </w:r>
      <w:r w:rsidRPr="002649EE">
        <w:rPr>
          <w:rFonts w:ascii="Times New Roman" w:hAnsi="Times New Roman" w:cs="Times New Roman"/>
          <w:sz w:val="28"/>
          <w:szCs w:val="28"/>
        </w:rPr>
        <w:tab/>
        <w:t xml:space="preserve">Технология производства и переработки животноводческой продукции : учеб. пособие для студентов вузов по специальности: 080502 - Экономика и упр. на предприятии АПК, 110305 - Технология пр-ва и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. с.-х. продукции/п</w:t>
      </w:r>
      <w:r>
        <w:rPr>
          <w:rFonts w:ascii="Times New Roman" w:hAnsi="Times New Roman" w:cs="Times New Roman"/>
          <w:sz w:val="28"/>
          <w:szCs w:val="28"/>
        </w:rPr>
        <w:t xml:space="preserve">од общ. ред. 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>алуга:Манускрипт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2005. - 688 с.</w:t>
      </w:r>
    </w:p>
    <w:p w:rsidR="002649EE" w:rsidRPr="002649EE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7.</w:t>
      </w:r>
      <w:r w:rsidRPr="002649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В. И. Технология производства, переработки и хранения продукции животно-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метод. пособие/В. И.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М. Ф. З</w:t>
      </w:r>
      <w:r>
        <w:rPr>
          <w:rFonts w:ascii="Times New Roman" w:hAnsi="Times New Roman" w:cs="Times New Roman"/>
          <w:sz w:val="28"/>
          <w:szCs w:val="28"/>
        </w:rPr>
        <w:t xml:space="preserve">онов, Е.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Ставрополь:АГРУС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, 2015. - 471 КБ</w:t>
      </w:r>
    </w:p>
    <w:p w:rsidR="00073552" w:rsidRPr="00073552" w:rsidRDefault="002649EE" w:rsidP="002649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EE">
        <w:rPr>
          <w:rFonts w:ascii="Times New Roman" w:hAnsi="Times New Roman" w:cs="Times New Roman"/>
          <w:sz w:val="28"/>
          <w:szCs w:val="28"/>
        </w:rPr>
        <w:t>8.</w:t>
      </w:r>
      <w:r w:rsidRPr="002649EE">
        <w:rPr>
          <w:rFonts w:ascii="Times New Roman" w:hAnsi="Times New Roman" w:cs="Times New Roman"/>
          <w:sz w:val="28"/>
          <w:szCs w:val="28"/>
        </w:rPr>
        <w:tab/>
        <w:t>Чернобай, Е. Н. Технология первичной переработки продуктов животноводства : учеб</w:t>
      </w:r>
      <w:proofErr w:type="gramStart"/>
      <w:r w:rsidRPr="002649E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649EE">
        <w:rPr>
          <w:rFonts w:ascii="Times New Roman" w:hAnsi="Times New Roman" w:cs="Times New Roman"/>
          <w:sz w:val="28"/>
          <w:szCs w:val="28"/>
        </w:rPr>
        <w:t xml:space="preserve">метод. пособие для студентов фак. </w:t>
      </w:r>
      <w:proofErr w:type="spellStart"/>
      <w:r w:rsidRPr="002649EE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2649EE">
        <w:rPr>
          <w:rFonts w:ascii="Times New Roman" w:hAnsi="Times New Roman" w:cs="Times New Roman"/>
          <w:sz w:val="28"/>
          <w:szCs w:val="28"/>
        </w:rPr>
        <w:t>. менеджмента специа</w:t>
      </w:r>
      <w:r>
        <w:rPr>
          <w:rFonts w:ascii="Times New Roman" w:hAnsi="Times New Roman" w:cs="Times New Roman"/>
          <w:sz w:val="28"/>
          <w:szCs w:val="28"/>
        </w:rPr>
        <w:t xml:space="preserve">льности 110401 - "Зоотехния". - </w:t>
      </w:r>
      <w:bookmarkStart w:id="0" w:name="_GoBack"/>
      <w:bookmarkEnd w:id="0"/>
      <w:r w:rsidRPr="002649EE">
        <w:rPr>
          <w:rFonts w:ascii="Times New Roman" w:hAnsi="Times New Roman" w:cs="Times New Roman"/>
          <w:sz w:val="28"/>
          <w:szCs w:val="28"/>
        </w:rPr>
        <w:t>Ставрополь:АГРУС, 2006. - 272 с.</w:t>
      </w:r>
    </w:p>
    <w:p w:rsidR="00073552" w:rsidRPr="00073552" w:rsidRDefault="00073552" w:rsidP="0007355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552" w:rsidRPr="00073552" w:rsidRDefault="00073552" w:rsidP="0007355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52">
        <w:rPr>
          <w:rFonts w:ascii="Times New Roman" w:hAnsi="Times New Roman" w:cs="Times New Roman"/>
          <w:b/>
          <w:color w:val="000000"/>
          <w:sz w:val="28"/>
          <w:szCs w:val="28"/>
        </w:rPr>
        <w:t>ИНТЕРНЕТ РЕСУРСЫ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073552" w:rsidRPr="00073552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http://www.fermer.ru/</w:t>
        </w:r>
      </w:hyperlink>
      <w:r w:rsidR="00073552" w:rsidRPr="00073552">
        <w:rPr>
          <w:rFonts w:ascii="Times New Roman" w:hAnsi="Times New Roman" w:cs="Times New Roman"/>
          <w:bCs/>
          <w:sz w:val="28"/>
          <w:szCs w:val="28"/>
        </w:rPr>
        <w:t xml:space="preserve"> ФЕРМЕР.RU – главный фермерский портал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http://www.agroportal.ru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/</w:t>
      </w:r>
      <w:hyperlink r:id="rId9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АГРОПОРТАЛ. Информационно-поисковая система АПК</w:t>
        </w:r>
      </w:hyperlink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Российское образование. Федеральный портал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http://www.cnshb.ru/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Центральная научная сельскохозяйственная библиотека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http://www.rsl.ru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библиотека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http://ru.wikipedia.org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Википедия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http://www.yandex.ru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Яндекс 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http://www.google.ru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Гугл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http://www.rambler.ru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Рамблер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http://www.alleng.ru/edu/educ.htm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- образовательный ресурс Интернета - школьникам и студентам.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www.edu.ru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- ресурсы портала для общего образования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www.allbest.ru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 - "Союз образовательных сайтов</w:t>
      </w:r>
    </w:p>
    <w:p w:rsidR="00073552" w:rsidRPr="00073552" w:rsidRDefault="002649EE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73552" w:rsidRPr="00073552">
          <w:rPr>
            <w:rStyle w:val="a5"/>
            <w:rFonts w:ascii="Times New Roman" w:hAnsi="Times New Roman" w:cs="Times New Roman"/>
            <w:sz w:val="28"/>
            <w:szCs w:val="28"/>
          </w:rPr>
          <w:t>www.window.edu.ru</w:t>
        </w:r>
      </w:hyperlink>
      <w:r w:rsidR="00073552" w:rsidRPr="00073552">
        <w:rPr>
          <w:rFonts w:ascii="Times New Roman" w:hAnsi="Times New Roman" w:cs="Times New Roman"/>
          <w:sz w:val="28"/>
          <w:szCs w:val="28"/>
        </w:rPr>
        <w:t xml:space="preserve">-Единое окно доступа к образовательным ресурсам. Тематический каталог образовательных ресурсов. </w:t>
      </w:r>
    </w:p>
    <w:p w:rsidR="00073552" w:rsidRPr="00073552" w:rsidRDefault="00073552" w:rsidP="00073552">
      <w:pPr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52">
        <w:rPr>
          <w:rFonts w:ascii="Times New Roman" w:hAnsi="Times New Roman" w:cs="Times New Roman"/>
          <w:spacing w:val="-4"/>
          <w:sz w:val="28"/>
          <w:szCs w:val="28"/>
        </w:rPr>
        <w:t xml:space="preserve">Справочная правовая система </w:t>
      </w:r>
      <w:proofErr w:type="spellStart"/>
      <w:r w:rsidRPr="00073552">
        <w:rPr>
          <w:rFonts w:ascii="Times New Roman" w:hAnsi="Times New Roman" w:cs="Times New Roman"/>
          <w:spacing w:val="-4"/>
          <w:sz w:val="28"/>
          <w:szCs w:val="28"/>
        </w:rPr>
        <w:t>КонсультантПлюс</w:t>
      </w:r>
      <w:proofErr w:type="spellEnd"/>
    </w:p>
    <w:p w:rsidR="00073552" w:rsidRDefault="00073552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9EE" w:rsidRDefault="002649EE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Эссе</w:t>
      </w:r>
      <w:r>
        <w:rPr>
          <w:rFonts w:ascii="Times New Roman" w:hAnsi="Times New Roman"/>
          <w:sz w:val="24"/>
          <w:szCs w:val="24"/>
        </w:rPr>
        <w:t xml:space="preserve"> –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знаний и умений,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>
        <w:rPr>
          <w:rFonts w:ascii="Times New Roman" w:hAnsi="Times New Roman"/>
          <w:sz w:val="24"/>
          <w:szCs w:val="24"/>
        </w:rPr>
        <w:t xml:space="preserve">. Ответ демонстрирует умения умение правильно использовать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 xml:space="preserve"> Ответ демонстрирует умения умение правильно использовать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балл.</w:t>
      </w:r>
      <w:r>
        <w:rPr>
          <w:rFonts w:ascii="Times New Roman" w:hAnsi="Times New Roman"/>
          <w:sz w:val="24"/>
          <w:szCs w:val="24"/>
        </w:rPr>
        <w:t xml:space="preserve"> Ответ демонстрирует умение правильно использовать специальные термины и понятия, показатели изучаемой дисциплины.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</w:t>
      </w:r>
      <w:r>
        <w:rPr>
          <w:rFonts w:ascii="Times New Roman" w:hAnsi="Times New Roman"/>
          <w:sz w:val="24"/>
          <w:szCs w:val="24"/>
        </w:rPr>
        <w:t>. Ответ не содержит демонстрации получаемых в процессе изучения дисциплины знаний и умений.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Доклад (по выполненному реферату)</w:t>
      </w:r>
      <w:r>
        <w:rPr>
          <w:rFonts w:ascii="Times New Roman" w:hAnsi="Times New Roman"/>
          <w:sz w:val="24"/>
          <w:szCs w:val="24"/>
        </w:rPr>
        <w:t xml:space="preserve"> – средство, позволяющее оценить умение обучающегося устно излагать суть поставленной проблемы, сопровождая ее презентацией, самостоятельно проводить анализ этой проблемы с использованием знаний и умений, приобретаемых в рамках изучения предыдущих и данной дисциплины, делать выводы, обобщающие авторскую позицию по поставленной проблеме.</w:t>
      </w:r>
      <w:proofErr w:type="gramEnd"/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баллов</w:t>
      </w:r>
      <w:r>
        <w:rPr>
          <w:rFonts w:ascii="Times New Roman" w:hAnsi="Times New Roman"/>
          <w:sz w:val="24"/>
          <w:szCs w:val="24"/>
        </w:rPr>
        <w:t xml:space="preserve">. Выступление демонстрирует умения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 баллов. </w:t>
      </w:r>
      <w:r>
        <w:rPr>
          <w:rFonts w:ascii="Times New Roman" w:hAnsi="Times New Roman"/>
          <w:sz w:val="24"/>
          <w:szCs w:val="24"/>
        </w:rPr>
        <w:t>В выступлении отсутствует обобщение представленного материала, установлены не все  причинно-следственные связи.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b/>
          <w:sz w:val="24"/>
          <w:szCs w:val="24"/>
        </w:rPr>
        <w:t>балла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выступлении отсутствует обобщение представленного материала, установлены не все  причинно-следственные связи, обучающийся не всегда правильно использует в устной речи специальные термины и понятия, показатели, допущены ошибки в самостоятельно подготовленной презентации.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 xml:space="preserve">. 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 </w:t>
      </w:r>
    </w:p>
    <w:p w:rsid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4BF" w:rsidRP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A704BF">
        <w:rPr>
          <w:rFonts w:ascii="Times New Roman" w:hAnsi="Times New Roman"/>
          <w:i/>
          <w:sz w:val="24"/>
          <w:szCs w:val="24"/>
          <w:u w:val="single"/>
        </w:rPr>
        <w:t>Статья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  <w:proofErr w:type="gramEnd"/>
    </w:p>
    <w:p w:rsidR="00A704BF" w:rsidRP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704BF">
        <w:rPr>
          <w:rFonts w:ascii="Times New Roman" w:hAnsi="Times New Roman"/>
          <w:i/>
          <w:sz w:val="24"/>
          <w:szCs w:val="24"/>
          <w:u w:val="single"/>
        </w:rPr>
        <w:t>Критерии оценки</w:t>
      </w:r>
    </w:p>
    <w:p w:rsidR="00A704BF" w:rsidRP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704BF">
        <w:rPr>
          <w:rFonts w:ascii="Times New Roman" w:hAnsi="Times New Roman"/>
          <w:b/>
          <w:i/>
          <w:sz w:val="24"/>
          <w:szCs w:val="24"/>
          <w:u w:val="single"/>
        </w:rPr>
        <w:t>15 баллов</w:t>
      </w:r>
      <w:r w:rsidRPr="00A704BF">
        <w:rPr>
          <w:rFonts w:ascii="Times New Roman" w:hAnsi="Times New Roman"/>
          <w:i/>
          <w:sz w:val="24"/>
          <w:szCs w:val="24"/>
          <w:u w:val="single"/>
        </w:rPr>
        <w:t xml:space="preserve">. Статья объемом не менее 4 страниц демонстрирует умение проведения самостоятельного актуального  научно-практического исследования,  правильно оформлена, содержит оригинальный анализ проблемы, подтвержденный статистическими и/или отчетными данными, </w:t>
      </w:r>
      <w:r w:rsidRPr="00A704BF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графическим материалом. В ней рассмотрены возможные пути решения проблемы, сформулировать правильные выводы и предложения, отражающие авторскую точку зрения. </w:t>
      </w:r>
    </w:p>
    <w:p w:rsidR="00A704BF" w:rsidRP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704BF">
        <w:rPr>
          <w:rFonts w:ascii="Times New Roman" w:hAnsi="Times New Roman"/>
          <w:b/>
          <w:i/>
          <w:sz w:val="24"/>
          <w:szCs w:val="24"/>
          <w:u w:val="single"/>
        </w:rPr>
        <w:t xml:space="preserve">10 баллов. </w:t>
      </w:r>
      <w:r w:rsidRPr="00A704BF">
        <w:rPr>
          <w:rFonts w:ascii="Times New Roman" w:hAnsi="Times New Roman"/>
          <w:i/>
          <w:sz w:val="24"/>
          <w:szCs w:val="24"/>
          <w:u w:val="single"/>
        </w:rPr>
        <w:t xml:space="preserve">Статья объемом не менее 3 страниц демонстрирует умение проведения самостоятельного актуального  научно-практического исследования, 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сформулировать правильные выводы и предложения. </w:t>
      </w:r>
    </w:p>
    <w:p w:rsidR="00A704BF" w:rsidRPr="00A704BF" w:rsidRDefault="00A704BF" w:rsidP="00A704B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704BF">
        <w:rPr>
          <w:rFonts w:ascii="Times New Roman" w:hAnsi="Times New Roman"/>
          <w:b/>
          <w:i/>
          <w:sz w:val="24"/>
          <w:szCs w:val="24"/>
          <w:u w:val="single"/>
        </w:rPr>
        <w:t xml:space="preserve">5 балл. </w:t>
      </w:r>
      <w:r w:rsidRPr="00A704BF">
        <w:rPr>
          <w:rFonts w:ascii="Times New Roman" w:hAnsi="Times New Roman"/>
          <w:i/>
          <w:sz w:val="24"/>
          <w:szCs w:val="24"/>
          <w:u w:val="single"/>
        </w:rPr>
        <w:t xml:space="preserve">Статья объемом не менее 2 страниц представлена в виде тезисов, демонстрирует умение проведения самостоятельного актуального  научно-практического исследования,  правильно оформлена, содержит анализ проблемы, подтвержденный отдельными  статистическими и/или отчетными данными. В ней сформулированы правильные выводы и предложения. </w:t>
      </w:r>
    </w:p>
    <w:p w:rsidR="00A704BF" w:rsidRPr="00594B39" w:rsidRDefault="00A704BF" w:rsidP="00594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704BF" w:rsidRPr="00594B39" w:rsidSect="00594B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128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C7947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B5A12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004EF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F66D91"/>
    <w:multiLevelType w:val="hybridMultilevel"/>
    <w:tmpl w:val="098C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B0A85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45B85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22BCA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96F83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34277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2498C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B2D81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B613C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12ED9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A44E8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6600E"/>
    <w:multiLevelType w:val="hybridMultilevel"/>
    <w:tmpl w:val="A3129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03166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D069E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F032E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F7DE8"/>
    <w:multiLevelType w:val="hybridMultilevel"/>
    <w:tmpl w:val="E63E7386"/>
    <w:lvl w:ilvl="0" w:tplc="0419000F">
      <w:start w:val="1"/>
      <w:numFmt w:val="decimal"/>
      <w:lvlText w:val="%1."/>
      <w:lvlJc w:val="left"/>
      <w:pPr>
        <w:tabs>
          <w:tab w:val="num" w:pos="582"/>
        </w:tabs>
        <w:ind w:left="582" w:hanging="360"/>
      </w:pPr>
      <w:rPr>
        <w:rFonts w:cs="Times New Roman"/>
      </w:rPr>
    </w:lvl>
    <w:lvl w:ilvl="1" w:tplc="DA66F7E0">
      <w:start w:val="6"/>
      <w:numFmt w:val="decimal"/>
      <w:lvlText w:val="%2."/>
      <w:lvlJc w:val="left"/>
      <w:pPr>
        <w:tabs>
          <w:tab w:val="num" w:pos="1302"/>
        </w:tabs>
        <w:ind w:left="13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98"/>
        </w:tabs>
        <w:ind w:left="209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58"/>
        </w:tabs>
        <w:ind w:left="425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18"/>
        </w:tabs>
        <w:ind w:left="6418" w:hanging="360"/>
      </w:pPr>
      <w:rPr>
        <w:rFonts w:cs="Times New Roman"/>
      </w:rPr>
    </w:lvl>
  </w:abstractNum>
  <w:abstractNum w:abstractNumId="20">
    <w:nsid w:val="4D230205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18263F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6C3AF5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57733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C0B2A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B661D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682BB8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46523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432B7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35C3A"/>
    <w:multiLevelType w:val="hybridMultilevel"/>
    <w:tmpl w:val="E8D03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772AF"/>
    <w:multiLevelType w:val="hybridMultilevel"/>
    <w:tmpl w:val="E8D03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13B95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3413A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B323EA"/>
    <w:multiLevelType w:val="hybridMultilevel"/>
    <w:tmpl w:val="89946E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32BC8"/>
    <w:multiLevelType w:val="hybridMultilevel"/>
    <w:tmpl w:val="4FA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3"/>
  </w:num>
  <w:num w:numId="5">
    <w:abstractNumId w:val="27"/>
  </w:num>
  <w:num w:numId="6">
    <w:abstractNumId w:val="17"/>
  </w:num>
  <w:num w:numId="7">
    <w:abstractNumId w:val="28"/>
  </w:num>
  <w:num w:numId="8">
    <w:abstractNumId w:val="24"/>
  </w:num>
  <w:num w:numId="9">
    <w:abstractNumId w:val="10"/>
  </w:num>
  <w:num w:numId="10">
    <w:abstractNumId w:val="11"/>
  </w:num>
  <w:num w:numId="11">
    <w:abstractNumId w:val="31"/>
  </w:num>
  <w:num w:numId="12">
    <w:abstractNumId w:val="7"/>
  </w:num>
  <w:num w:numId="13">
    <w:abstractNumId w:val="2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3"/>
  </w:num>
  <w:num w:numId="21">
    <w:abstractNumId w:val="0"/>
  </w:num>
  <w:num w:numId="22">
    <w:abstractNumId w:val="6"/>
  </w:num>
  <w:num w:numId="23">
    <w:abstractNumId w:val="1"/>
  </w:num>
  <w:num w:numId="24">
    <w:abstractNumId w:val="3"/>
  </w:num>
  <w:num w:numId="25">
    <w:abstractNumId w:val="2"/>
  </w:num>
  <w:num w:numId="26">
    <w:abstractNumId w:val="21"/>
  </w:num>
  <w:num w:numId="27">
    <w:abstractNumId w:val="32"/>
  </w:num>
  <w:num w:numId="28">
    <w:abstractNumId w:val="18"/>
  </w:num>
  <w:num w:numId="29">
    <w:abstractNumId w:val="12"/>
  </w:num>
  <w:num w:numId="30">
    <w:abstractNumId w:val="13"/>
  </w:num>
  <w:num w:numId="31">
    <w:abstractNumId w:val="34"/>
  </w:num>
  <w:num w:numId="32">
    <w:abstractNumId w:val="16"/>
  </w:num>
  <w:num w:numId="33">
    <w:abstractNumId w:val="22"/>
  </w:num>
  <w:num w:numId="34">
    <w:abstractNumId w:val="9"/>
  </w:num>
  <w:num w:numId="35">
    <w:abstractNumId w:val="20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B39"/>
    <w:rsid w:val="00004053"/>
    <w:rsid w:val="00073552"/>
    <w:rsid w:val="000B6FA9"/>
    <w:rsid w:val="002649EE"/>
    <w:rsid w:val="004D5949"/>
    <w:rsid w:val="00594B39"/>
    <w:rsid w:val="00694EC0"/>
    <w:rsid w:val="00720B66"/>
    <w:rsid w:val="00947BAB"/>
    <w:rsid w:val="00A704BF"/>
    <w:rsid w:val="00B839D9"/>
    <w:rsid w:val="00C32197"/>
    <w:rsid w:val="00C9506E"/>
    <w:rsid w:val="00E844D0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06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073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portal.ru/" TargetMode="External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fermer.ru/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alleng.ru/edu/educ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mbler.ru/" TargetMode="External"/><Relationship Id="rId20" Type="http://schemas.openxmlformats.org/officeDocument/2006/relationships/hyperlink" Target="http://www.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.znanium.com/go.php?id=982136" TargetMode="External"/><Relationship Id="rId11" Type="http://schemas.openxmlformats.org/officeDocument/2006/relationships/hyperlink" Target="http://www.cnsh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allb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is.kuban.ru/ru/res/krai/out.php3?id=119" TargetMode="External"/><Relationship Id="rId14" Type="http://schemas.openxmlformats.org/officeDocument/2006/relationships/hyperlink" Target="http://www.yandex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2017-04-20T09:04:00Z</dcterms:created>
  <dcterms:modified xsi:type="dcterms:W3CDTF">2022-03-03T09:31:00Z</dcterms:modified>
</cp:coreProperties>
</file>